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绥滨县第二小学</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numPr>
          <w:ilvl w:val="0"/>
          <w:numId w:val="1"/>
        </w:numPr>
        <w:ind w:firstLine="562" w:firstLineChars="200"/>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28"/>
          <w:szCs w:val="28"/>
        </w:rPr>
        <w:t>部门概况</w:t>
      </w:r>
    </w:p>
    <w:p>
      <w:pPr>
        <w:numPr>
          <w:ilvl w:val="0"/>
          <w:numId w:val="0"/>
        </w:numPr>
        <w:ind w:firstLine="560" w:firstLineChars="200"/>
        <w:rPr>
          <w:rFonts w:hint="eastAsia" w:asciiTheme="minorEastAsia" w:hAnsiTheme="minorEastAsia" w:eastAsiaTheme="minorEastAsia" w:cstheme="minorEastAsia"/>
          <w:b w:val="0"/>
          <w:bCs w:val="0"/>
          <w:sz w:val="28"/>
          <w:szCs w:val="28"/>
        </w:rPr>
      </w:pPr>
      <w:r>
        <w:rPr>
          <w:rFonts w:hint="eastAsia" w:ascii="宋体" w:hAnsi="宋体" w:cs="宋体"/>
          <w:b w:val="0"/>
          <w:bCs w:val="0"/>
          <w:color w:val="000000"/>
          <w:sz w:val="28"/>
          <w:szCs w:val="28"/>
          <w:shd w:val="clear" w:color="auto" w:fill="FFFFFF"/>
        </w:rPr>
        <w:t>实施小学义务教育，促进基础教育发展，完善教学环境，提高办学效益。</w:t>
      </w:r>
    </w:p>
    <w:p>
      <w:pPr>
        <w:ind w:firstLine="560" w:firstLineChars="200"/>
        <w:rPr>
          <w:rFonts w:ascii="宋体" w:hAnsi="宋体" w:cs="宋体"/>
          <w:color w:val="000000"/>
          <w:sz w:val="30"/>
          <w:szCs w:val="30"/>
          <w:shd w:val="clear" w:color="auto" w:fill="FFFFFF"/>
        </w:rPr>
      </w:pPr>
      <w:r>
        <w:rPr>
          <w:rFonts w:hint="eastAsia" w:asciiTheme="minorEastAsia" w:hAnsiTheme="minorEastAsia" w:eastAsiaTheme="minorEastAsia" w:cstheme="minorEastAsia"/>
          <w:color w:val="333333"/>
          <w:sz w:val="28"/>
          <w:szCs w:val="28"/>
        </w:rPr>
        <w:t>一、主要职能</w:t>
      </w:r>
    </w:p>
    <w:p>
      <w:pPr>
        <w:ind w:firstLine="420" w:firstLineChars="150"/>
        <w:rPr>
          <w:rFonts w:ascii="宋体" w:hAnsi="宋体" w:cs="宋体"/>
          <w:color w:val="000000"/>
          <w:sz w:val="30"/>
          <w:szCs w:val="30"/>
          <w:shd w:val="clear" w:color="auto" w:fill="FFFFFF"/>
        </w:rPr>
      </w:pPr>
      <w:r>
        <w:rPr>
          <w:rFonts w:hint="eastAsia" w:asciiTheme="minorEastAsia" w:hAnsiTheme="minorEastAsia" w:cstheme="minorEastAsia"/>
          <w:color w:val="333333"/>
          <w:sz w:val="28"/>
          <w:szCs w:val="28"/>
        </w:rPr>
        <w:t>（一）宣传贯彻执行党和国家的教育方针、政策、法律法规等，坚持依法治教、依法治学，贯彻执行县教体局的行政规章制度。</w:t>
      </w:r>
    </w:p>
    <w:p>
      <w:pPr>
        <w:pStyle w:val="2"/>
        <w:widowControl/>
        <w:spacing w:before="180" w:beforeAutospacing="0" w:after="360" w:afterAutospacing="0" w:line="450" w:lineRule="atLeast"/>
        <w:ind w:firstLine="420" w:firstLineChars="150"/>
        <w:rPr>
          <w:rFonts w:asciiTheme="minorEastAsia" w:hAnsiTheme="minorEastAsia" w:cstheme="minorEastAsia"/>
          <w:color w:val="333333"/>
          <w:sz w:val="28"/>
          <w:szCs w:val="28"/>
        </w:rPr>
      </w:pPr>
      <w:r>
        <w:rPr>
          <w:rFonts w:hint="eastAsia" w:asciiTheme="minorEastAsia" w:hAnsiTheme="minorEastAsia" w:cstheme="minorEastAsia"/>
          <w:color w:val="333333"/>
          <w:sz w:val="28"/>
          <w:szCs w:val="28"/>
        </w:rPr>
        <w:t>（二）组织开展本校的教育教学科研和教育教学改革，科研兴教，科研兴校。负责对本校教育教学业务的具体管理，负责教育教学管理及教研教改工作，全力推进素质教育实施。</w:t>
      </w:r>
    </w:p>
    <w:p>
      <w:pPr>
        <w:ind w:firstLine="420" w:firstLineChars="150"/>
      </w:pPr>
      <w:r>
        <w:rPr>
          <w:rFonts w:hint="eastAsia" w:asciiTheme="minorEastAsia" w:hAnsiTheme="minorEastAsia" w:cstheme="minorEastAsia"/>
          <w:color w:val="333333"/>
          <w:sz w:val="28"/>
          <w:szCs w:val="28"/>
        </w:rPr>
        <w:t>（三）</w:t>
      </w:r>
      <w:r>
        <w:rPr>
          <w:rFonts w:hint="eastAsia"/>
          <w:sz w:val="28"/>
          <w:szCs w:val="28"/>
        </w:rPr>
        <w:t>认真完成普及初等教育的任务，严格执行小学教学大纲，保证完成小学教育、教学计划；按教育规律办事，坚持“德、智、体、美、劳”全面发展；积极进行教育思想、教学内容、教学方法和教育手段的改革；为初中输送合格的新生。　</w:t>
      </w:r>
      <w:r>
        <w:rPr>
          <w:rFonts w:hint="eastAsia"/>
        </w:rPr>
        <w:t>　　</w:t>
      </w:r>
    </w:p>
    <w:p>
      <w:pPr>
        <w:pStyle w:val="2"/>
        <w:widowControl/>
        <w:spacing w:before="180" w:beforeAutospacing="0" w:after="360" w:afterAutospacing="0" w:line="450" w:lineRule="atLeast"/>
        <w:ind w:firstLine="420" w:firstLineChars="150"/>
        <w:rPr>
          <w:rFonts w:asciiTheme="minorEastAsia" w:hAnsiTheme="minorEastAsia" w:cstheme="minorEastAsia"/>
          <w:color w:val="333333"/>
          <w:sz w:val="28"/>
          <w:szCs w:val="28"/>
        </w:rPr>
      </w:pPr>
      <w:r>
        <w:rPr>
          <w:rFonts w:hint="eastAsia" w:asciiTheme="minorEastAsia" w:hAnsiTheme="minorEastAsia" w:cstheme="minorEastAsia"/>
          <w:color w:val="333333"/>
          <w:sz w:val="28"/>
          <w:szCs w:val="28"/>
        </w:rPr>
        <w:t>（四）按照干部和教师的职数、编制和管理权限，制定切实可行的学校工作规章制度，以提高教育教学质量为目的，负责本校教师人事管理、继续教育、考核考评等工作。</w:t>
      </w:r>
    </w:p>
    <w:p>
      <w:pPr>
        <w:pStyle w:val="2"/>
        <w:widowControl/>
        <w:spacing w:before="180" w:beforeAutospacing="0" w:after="360" w:afterAutospacing="0" w:line="450" w:lineRule="atLeast"/>
        <w:ind w:firstLine="420" w:firstLineChars="150"/>
        <w:rPr>
          <w:rFonts w:asciiTheme="minorEastAsia" w:hAnsiTheme="minorEastAsia" w:cstheme="minorEastAsia"/>
          <w:color w:val="333333"/>
          <w:sz w:val="28"/>
          <w:szCs w:val="28"/>
        </w:rPr>
      </w:pPr>
      <w:r>
        <w:rPr>
          <w:rFonts w:hint="eastAsia" w:asciiTheme="minorEastAsia" w:hAnsiTheme="minorEastAsia" w:cstheme="minorEastAsia"/>
          <w:color w:val="333333"/>
          <w:sz w:val="28"/>
          <w:szCs w:val="28"/>
        </w:rPr>
        <w:t>（五）负责本校财务和基建管理，筹措资金，改善办学条件等工作，为师生提供优美和谐的学习和工作环境。核算和发放教职工工资，维护教职工利益，保障教职工合法权益。</w:t>
      </w:r>
    </w:p>
    <w:p>
      <w:pPr>
        <w:pStyle w:val="2"/>
        <w:widowControl/>
        <w:spacing w:before="180" w:beforeAutospacing="0" w:after="360" w:afterAutospacing="0" w:line="450" w:lineRule="atLeast"/>
        <w:ind w:firstLine="420" w:firstLineChars="150"/>
        <w:rPr>
          <w:rFonts w:asciiTheme="minorEastAsia" w:hAnsiTheme="minorEastAsia" w:cstheme="minorEastAsia"/>
          <w:color w:val="333333"/>
          <w:sz w:val="28"/>
          <w:szCs w:val="28"/>
        </w:rPr>
      </w:pPr>
      <w:r>
        <w:rPr>
          <w:rFonts w:hint="eastAsia" w:asciiTheme="minorEastAsia" w:hAnsiTheme="minorEastAsia" w:cstheme="minorEastAsia"/>
          <w:color w:val="333333"/>
          <w:sz w:val="28"/>
          <w:szCs w:val="28"/>
        </w:rPr>
        <w:t>（六）建立健全学生学籍管理制度，按国家教育部颁布的规定管理学生学籍，建立学生档案。</w:t>
      </w:r>
    </w:p>
    <w:p>
      <w:pPr>
        <w:pStyle w:val="2"/>
        <w:widowControl/>
        <w:spacing w:before="180" w:beforeAutospacing="0" w:after="360" w:afterAutospacing="0" w:line="450" w:lineRule="atLeast"/>
        <w:ind w:firstLine="420" w:firstLineChars="150"/>
        <w:rPr>
          <w:rFonts w:asciiTheme="minorEastAsia" w:hAnsiTheme="minorEastAsia" w:cstheme="minorEastAsia"/>
          <w:color w:val="333333"/>
          <w:sz w:val="28"/>
          <w:szCs w:val="28"/>
        </w:rPr>
      </w:pPr>
      <w:r>
        <w:rPr>
          <w:rFonts w:hint="eastAsia" w:asciiTheme="minorEastAsia" w:hAnsiTheme="minorEastAsia" w:cstheme="minorEastAsia"/>
          <w:color w:val="333333"/>
          <w:sz w:val="28"/>
          <w:szCs w:val="28"/>
        </w:rPr>
        <w:t>（七）在县政府的领导下，积极开展学校的安全管理，不断提高安全管理水平，努力营造安全和谐的校园环境。</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widowControl/>
        <w:spacing w:before="180" w:beforeAutospacing="0" w:after="360" w:afterAutospacing="0" w:line="45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rPr>
        <w:t>绥滨县第二小学为全额拨款事业单位，内设</w:t>
      </w:r>
      <w:r>
        <w:rPr>
          <w:rFonts w:hint="eastAsia" w:ascii="宋体" w:hAnsi="宋体" w:cs="宋体"/>
          <w:color w:val="3D3D3D"/>
          <w:sz w:val="30"/>
          <w:szCs w:val="30"/>
        </w:rPr>
        <w:t>教务处、政教处、总务处三</w:t>
      </w:r>
      <w:r>
        <w:rPr>
          <w:rFonts w:hint="eastAsia" w:asciiTheme="minorEastAsia" w:hAnsi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pageBreakBefore w:val="0"/>
        <w:widowControl/>
        <w:kinsoku/>
        <w:wordWrap/>
        <w:overflowPunct/>
        <w:topLinePunct w:val="0"/>
        <w:autoSpaceDE/>
        <w:autoSpaceDN/>
        <w:bidi w:val="0"/>
        <w:adjustRightInd/>
        <w:snapToGrid/>
        <w:spacing w:before="180" w:beforeAutospacing="0" w:after="360" w:afterAutospacing="0" w:line="450" w:lineRule="atLeas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rPr>
        <w:t>事业单位编制数</w:t>
      </w:r>
      <w:r>
        <w:rPr>
          <w:rFonts w:hint="eastAsia" w:asciiTheme="minorEastAsia" w:hAnsiTheme="minorEastAsia" w:cstheme="minorEastAsia"/>
          <w:color w:val="333333"/>
          <w:sz w:val="28"/>
          <w:szCs w:val="28"/>
          <w:lang w:val="en-US" w:eastAsia="zh-CN"/>
        </w:rPr>
        <w:t>62</w:t>
      </w:r>
      <w:r>
        <w:rPr>
          <w:rFonts w:hint="eastAsia" w:asciiTheme="minorEastAsia" w:hAnsiTheme="minorEastAsia" w:cstheme="minorEastAsia"/>
          <w:color w:val="333333"/>
          <w:sz w:val="28"/>
          <w:szCs w:val="28"/>
        </w:rPr>
        <w:t>个，其中行政编制0个，在职0人，退休0人，离休0人；事业编制</w:t>
      </w:r>
      <w:r>
        <w:rPr>
          <w:rFonts w:hint="eastAsia" w:asciiTheme="minorEastAsia" w:hAnsiTheme="minorEastAsia" w:cstheme="minorEastAsia"/>
          <w:color w:val="333333"/>
          <w:sz w:val="28"/>
          <w:szCs w:val="28"/>
          <w:lang w:val="en-US" w:eastAsia="zh-CN"/>
        </w:rPr>
        <w:t>62</w:t>
      </w:r>
      <w:r>
        <w:rPr>
          <w:rFonts w:hint="eastAsia" w:asciiTheme="minorEastAsia" w:hAnsi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62</w:t>
      </w:r>
      <w:r>
        <w:rPr>
          <w:rFonts w:hint="eastAsia" w:asciiTheme="minorEastAsia" w:hAnsi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70</w:t>
      </w:r>
      <w:r>
        <w:rPr>
          <w:rFonts w:hint="eastAsia" w:asciiTheme="minorEastAsia" w:hAnsiTheme="minorEastAsia" w:cstheme="minorEastAsia"/>
          <w:color w:val="333333"/>
          <w:sz w:val="28"/>
          <w:szCs w:val="28"/>
        </w:rPr>
        <w:t>人。</w:t>
      </w: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878.84</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893.41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83.40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8.67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68.83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7.15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878.84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866.49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98.59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12.35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893.41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892.21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99.87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0.13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866.49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66.11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7.09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881.08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51.52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5.52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881.08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98.62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51.52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5.52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881.08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Fonts w:hint="eastAsia" w:asciiTheme="minorEastAsia" w:hAnsiTheme="minorEastAsia" w:cstheme="minorEastAsia"/>
          <w:b/>
          <w:color w:val="373737"/>
          <w:sz w:val="28"/>
          <w:szCs w:val="28"/>
          <w:shd w:val="clear" w:color="auto" w:fill="FFFFFF"/>
        </w:rPr>
        <w:t>教育支出</w:t>
      </w:r>
      <w:r>
        <w:rPr>
          <w:rStyle w:val="5"/>
          <w:rFonts w:hint="eastAsia" w:asciiTheme="minorEastAsia" w:hAnsiTheme="minorEastAsia" w:cstheme="minorEastAsia"/>
          <w:color w:val="373737"/>
          <w:sz w:val="28"/>
          <w:szCs w:val="28"/>
          <w:shd w:val="clear" w:color="auto" w:fill="FFFFFF"/>
        </w:rPr>
        <w:t>（类）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770.86</w:t>
      </w:r>
      <w:r>
        <w:rPr>
          <w:rFonts w:hint="eastAsia" w:asciiTheme="minorEastAsia" w:hAnsiTheme="minorEastAsia" w:cstheme="minorEastAsia"/>
          <w:color w:val="373737"/>
          <w:sz w:val="28"/>
          <w:szCs w:val="28"/>
          <w:shd w:val="clear" w:color="auto" w:fill="FFFFFF"/>
        </w:rPr>
        <w:t>万元，</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87.49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67.20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7.63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0.14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41.82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4.75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widowControl/>
        <w:shd w:val="clear" w:color="auto" w:fill="FFFFFF"/>
        <w:spacing w:beforeAutospacing="0" w:after="225" w:afterAutospacing="0"/>
        <w:ind w:firstLine="990"/>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753.14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881.08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116.99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color w:val="373737"/>
          <w:sz w:val="28"/>
          <w:szCs w:val="28"/>
          <w:shd w:val="clear" w:color="auto" w:fill="FFFFFF"/>
        </w:rPr>
        <w:t>一是201</w:t>
      </w:r>
      <w:r>
        <w:rPr>
          <w:rFonts w:hint="eastAsia" w:asciiTheme="minorEastAsia" w:hAnsiTheme="minorEastAsia" w:cstheme="minorEastAsia"/>
          <w:color w:val="373737"/>
          <w:sz w:val="28"/>
          <w:szCs w:val="28"/>
          <w:shd w:val="clear" w:color="auto" w:fill="FFFFFF"/>
          <w:lang w:val="en-US" w:eastAsia="zh-CN"/>
        </w:rPr>
        <w:t>9</w:t>
      </w:r>
      <w:r>
        <w:rPr>
          <w:rFonts w:hint="eastAsia" w:asciiTheme="minorEastAsia" w:hAnsiTheme="minorEastAsia" w:cstheme="minorEastAsia"/>
          <w:color w:val="373737"/>
          <w:sz w:val="28"/>
          <w:szCs w:val="28"/>
          <w:shd w:val="clear" w:color="auto" w:fill="FFFFFF"/>
        </w:rPr>
        <w:t>年在职、离退休职工工资</w:t>
      </w:r>
      <w:r>
        <w:rPr>
          <w:rFonts w:hint="eastAsia" w:asciiTheme="minorEastAsia" w:hAnsiTheme="minorEastAsia" w:cstheme="minorEastAsia"/>
          <w:color w:val="373737"/>
          <w:sz w:val="28"/>
          <w:szCs w:val="28"/>
          <w:shd w:val="clear" w:color="auto" w:fill="FFFFFF"/>
          <w:lang w:eastAsia="zh-CN"/>
        </w:rPr>
        <w:t>的</w:t>
      </w:r>
      <w:r>
        <w:rPr>
          <w:rFonts w:hint="eastAsia" w:asciiTheme="minorEastAsia" w:hAnsiTheme="minorEastAsia" w:cstheme="minorEastAsia"/>
          <w:color w:val="373737"/>
          <w:sz w:val="28"/>
          <w:szCs w:val="28"/>
          <w:shd w:val="clear" w:color="auto" w:fill="FFFFFF"/>
        </w:rPr>
        <w:t>增长和由于工资增长相应的医疗保险、住房公积金、住房提租补贴</w:t>
      </w:r>
      <w:r>
        <w:rPr>
          <w:rFonts w:hint="eastAsia" w:asciiTheme="minorEastAsia" w:hAnsiTheme="minorEastAsia" w:cstheme="minorEastAsia"/>
          <w:color w:val="373737"/>
          <w:sz w:val="28"/>
          <w:szCs w:val="28"/>
          <w:shd w:val="clear" w:color="auto" w:fill="FFFFFF"/>
          <w:lang w:eastAsia="zh-CN"/>
        </w:rPr>
        <w:t>、养老保险、职业年金</w:t>
      </w:r>
      <w:r>
        <w:rPr>
          <w:rFonts w:hint="eastAsia" w:asciiTheme="minorEastAsia" w:hAnsiTheme="minorEastAsia" w:cstheme="minorEastAsia"/>
          <w:color w:val="373737"/>
          <w:sz w:val="28"/>
          <w:szCs w:val="28"/>
          <w:shd w:val="clear" w:color="auto" w:fill="FFFFFF"/>
        </w:rPr>
        <w:t>的缴交比例也随之增加，所以决算数大于预算数；二是行政管理事务等项目资金</w:t>
      </w:r>
      <w:r>
        <w:rPr>
          <w:rFonts w:hint="eastAsia" w:asciiTheme="minorEastAsia" w:hAnsiTheme="minorEastAsia" w:cstheme="minorEastAsia"/>
          <w:color w:val="373737"/>
          <w:sz w:val="28"/>
          <w:szCs w:val="28"/>
          <w:shd w:val="clear" w:color="auto" w:fill="FFFFFF"/>
          <w:lang w:eastAsia="zh-CN"/>
        </w:rPr>
        <w:t>的增加</w:t>
      </w:r>
      <w:r>
        <w:rPr>
          <w:rFonts w:hint="eastAsia" w:asciiTheme="minorEastAsia" w:hAnsiTheme="minorEastAsia" w:cstheme="minorEastAsia"/>
          <w:color w:val="373737"/>
          <w:sz w:val="28"/>
          <w:szCs w:val="28"/>
          <w:shd w:val="clear" w:color="auto" w:fill="FFFFFF"/>
        </w:rPr>
        <w:t>。其中：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widowControl/>
        <w:shd w:val="clear" w:color="auto" w:fill="FFFFFF"/>
        <w:spacing w:beforeAutospacing="0" w:after="225" w:afterAutospacing="0"/>
        <w:ind w:firstLine="645"/>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76.24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67.20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88.14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cstheme="minorEastAsia"/>
          <w:color w:val="373737"/>
          <w:sz w:val="28"/>
          <w:szCs w:val="28"/>
          <w:shd w:val="clear" w:color="auto" w:fill="FFFFFF"/>
          <w:lang w:eastAsia="zh-CN"/>
        </w:rPr>
        <w:t>社会保障缴费基数的调整</w:t>
      </w:r>
      <w:r>
        <w:rPr>
          <w:rFonts w:hint="eastAsia" w:asciiTheme="minorEastAsia" w:hAnsiTheme="minorEastAsia" w:cstheme="minorEastAsia"/>
          <w:color w:val="373737"/>
          <w:sz w:val="28"/>
          <w:szCs w:val="28"/>
          <w:shd w:val="clear" w:color="auto" w:fill="FFFFFF"/>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color w:val="373737"/>
          <w:sz w:val="28"/>
          <w:szCs w:val="28"/>
          <w:shd w:val="clear" w:color="auto" w:fill="FFFFFF"/>
        </w:rPr>
        <w:t>行政管理事务等项目资金</w:t>
      </w:r>
      <w:r>
        <w:rPr>
          <w:rFonts w:hint="eastAsia" w:asciiTheme="minorEastAsia" w:hAnsiTheme="minorEastAsia" w:cstheme="minorEastAsia"/>
          <w:color w:val="373737"/>
          <w:sz w:val="28"/>
          <w:szCs w:val="28"/>
          <w:shd w:val="clear" w:color="auto" w:fill="FFFFFF"/>
          <w:lang w:eastAsia="zh-CN"/>
        </w:rPr>
        <w:t>增加</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41.49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41.82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100.80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w:t>
      </w:r>
      <w:r>
        <w:rPr>
          <w:rFonts w:hint="eastAsia" w:asciiTheme="minorEastAsia" w:hAnsiTheme="minorEastAsia" w:cstheme="minorEastAsia"/>
          <w:i w:val="0"/>
          <w:caps w:val="0"/>
          <w:color w:val="373737"/>
          <w:spacing w:val="0"/>
          <w:sz w:val="28"/>
          <w:szCs w:val="28"/>
          <w:shd w:val="clear" w:fill="FFFFFF"/>
          <w:vertAlign w:val="baseline"/>
          <w:lang w:eastAsia="zh-CN"/>
        </w:rPr>
        <w:t>人员</w:t>
      </w:r>
      <w:r>
        <w:rPr>
          <w:rFonts w:hint="eastAsia" w:asciiTheme="minorEastAsia" w:hAnsiTheme="minorEastAsia" w:eastAsiaTheme="minorEastAsia" w:cstheme="minorEastAsia"/>
          <w:i w:val="0"/>
          <w:caps w:val="0"/>
          <w:color w:val="373737"/>
          <w:spacing w:val="0"/>
          <w:sz w:val="28"/>
          <w:szCs w:val="28"/>
          <w:shd w:val="clear" w:fill="FFFFFF"/>
          <w:vertAlign w:val="baseline"/>
        </w:rPr>
        <w:t>工资</w:t>
      </w:r>
      <w:r>
        <w:rPr>
          <w:rFonts w:hint="eastAsia" w:asciiTheme="minorEastAsia" w:hAnsiTheme="minorEastAsia" w:cstheme="minorEastAsia"/>
          <w:i w:val="0"/>
          <w:caps w:val="0"/>
          <w:color w:val="373737"/>
          <w:spacing w:val="0"/>
          <w:sz w:val="28"/>
          <w:szCs w:val="28"/>
          <w:shd w:val="clear" w:fill="FFFFFF"/>
          <w:vertAlign w:val="baseline"/>
          <w:lang w:eastAsia="zh-CN"/>
        </w:rPr>
        <w:t>的增长</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879.88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799.50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80.38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0.83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bookmarkStart w:id="0" w:name="_GoBack"/>
      <w:bookmarkEnd w:id="0"/>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5A7D6"/>
    <w:multiLevelType w:val="singleLevel"/>
    <w:tmpl w:val="23B5A7D6"/>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4AB1443"/>
    <w:rsid w:val="0708148E"/>
    <w:rsid w:val="098217C0"/>
    <w:rsid w:val="0B754ABA"/>
    <w:rsid w:val="0CEB0715"/>
    <w:rsid w:val="0D7B77CF"/>
    <w:rsid w:val="0E980DC7"/>
    <w:rsid w:val="0F5B186B"/>
    <w:rsid w:val="100F48A1"/>
    <w:rsid w:val="112206D5"/>
    <w:rsid w:val="135E0B8F"/>
    <w:rsid w:val="179B676B"/>
    <w:rsid w:val="17EF78D8"/>
    <w:rsid w:val="1A1F65C5"/>
    <w:rsid w:val="1CFB22BC"/>
    <w:rsid w:val="1F5161DC"/>
    <w:rsid w:val="201149F8"/>
    <w:rsid w:val="2016271B"/>
    <w:rsid w:val="23002744"/>
    <w:rsid w:val="2A054FEB"/>
    <w:rsid w:val="2B712D13"/>
    <w:rsid w:val="2DE7389C"/>
    <w:rsid w:val="36374552"/>
    <w:rsid w:val="37DE514F"/>
    <w:rsid w:val="385205BE"/>
    <w:rsid w:val="3964752F"/>
    <w:rsid w:val="3DDC6AB6"/>
    <w:rsid w:val="3E2B284A"/>
    <w:rsid w:val="3E5B0588"/>
    <w:rsid w:val="3E7434E4"/>
    <w:rsid w:val="3F98625C"/>
    <w:rsid w:val="419008B3"/>
    <w:rsid w:val="468401CF"/>
    <w:rsid w:val="4C71756D"/>
    <w:rsid w:val="50DD717C"/>
    <w:rsid w:val="58B46863"/>
    <w:rsid w:val="620037ED"/>
    <w:rsid w:val="62763A6A"/>
    <w:rsid w:val="659D7637"/>
    <w:rsid w:val="66B873EF"/>
    <w:rsid w:val="6A906C36"/>
    <w:rsid w:val="6ACF2E7B"/>
    <w:rsid w:val="6B6E45D7"/>
    <w:rsid w:val="6BC52739"/>
    <w:rsid w:val="6CC45A68"/>
    <w:rsid w:val="6D0D0970"/>
    <w:rsid w:val="70383710"/>
    <w:rsid w:val="73BD7559"/>
    <w:rsid w:val="763C3B43"/>
    <w:rsid w:val="768870B2"/>
    <w:rsid w:val="7BC22F3A"/>
    <w:rsid w:val="7C2720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2020-10-13T09:50:49Z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